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itternetztabelle4Akzent1211"/>
        <w:tblW w:w="5029" w:type="pct"/>
        <w:tblInd w:w="-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6A0" w:firstRow="1" w:lastRow="0" w:firstColumn="1" w:lastColumn="0" w:noHBand="1" w:noVBand="1"/>
      </w:tblPr>
      <w:tblGrid>
        <w:gridCol w:w="1581"/>
        <w:gridCol w:w="328"/>
        <w:gridCol w:w="1319"/>
        <w:gridCol w:w="326"/>
        <w:gridCol w:w="684"/>
        <w:gridCol w:w="326"/>
        <w:gridCol w:w="2106"/>
        <w:gridCol w:w="326"/>
        <w:gridCol w:w="3521"/>
      </w:tblGrid>
      <w:tr w:rsidR="00AB79C2" w:rsidRPr="005A0F35" w14:paraId="0A1AFC98" w14:textId="77777777" w:rsidTr="006C53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pct"/>
            <w:shd w:val="clear" w:color="auto" w:fill="3C9099"/>
            <w:vAlign w:val="center"/>
          </w:tcPr>
          <w:p w14:paraId="55A06ADC" w14:textId="5457CB13" w:rsidR="00AB79C2" w:rsidRPr="00413F11" w:rsidRDefault="00AB79C2" w:rsidP="00413F11">
            <w:pPr>
              <w:jc w:val="center"/>
              <w:rPr>
                <w:rFonts w:asciiTheme="minorHAnsi" w:hAnsiTheme="minorHAnsi" w:cstheme="minorHAnsi"/>
                <w:bCs w:val="0"/>
                <w:smallCaps/>
                <w:lang w:val="es-ES"/>
              </w:rPr>
            </w:pPr>
            <w:bookmarkStart w:id="0" w:name="_GoBack"/>
            <w:bookmarkEnd w:id="0"/>
            <w:r w:rsidRPr="005A0F35">
              <w:rPr>
                <w:rFonts w:asciiTheme="minorHAnsi" w:hAnsiTheme="minorHAnsi" w:cstheme="minorHAnsi"/>
                <w:b w:val="0"/>
                <w:smallCaps/>
                <w:lang w:val="es-ES"/>
              </w:rPr>
              <w:t>Unidad</w:t>
            </w:r>
          </w:p>
        </w:tc>
        <w:tc>
          <w:tcPr>
            <w:tcW w:w="4248" w:type="pct"/>
            <w:gridSpan w:val="8"/>
            <w:shd w:val="clear" w:color="auto" w:fill="3C9099"/>
            <w:vAlign w:val="center"/>
          </w:tcPr>
          <w:p w14:paraId="06306839" w14:textId="77777777" w:rsidR="00AB79C2" w:rsidRPr="005A0F35" w:rsidRDefault="00AB79C2" w:rsidP="00C550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lang w:val="es-ES"/>
              </w:rPr>
            </w:pPr>
            <w:r w:rsidRPr="005A0F35">
              <w:rPr>
                <w:rFonts w:asciiTheme="minorHAnsi" w:hAnsiTheme="minorHAnsi" w:cstheme="minorHAnsi"/>
                <w:b w:val="0"/>
                <w:smallCaps/>
                <w:lang w:val="es-ES"/>
              </w:rPr>
              <w:t>Compromiso de la Alta Dirección y Análisis GAP de la gestión de la energía</w:t>
            </w:r>
          </w:p>
        </w:tc>
      </w:tr>
      <w:tr w:rsidR="00AB79C2" w:rsidRPr="005A0F35" w14:paraId="4C1DF890" w14:textId="77777777" w:rsidTr="006C5361">
        <w:trPr>
          <w:trHeight w:val="331"/>
        </w:trPr>
        <w:tc>
          <w:tcPr>
            <w:cnfStyle w:val="001000000000" w:firstRow="0" w:lastRow="0" w:firstColumn="1" w:lastColumn="0" w:oddVBand="0" w:evenVBand="0" w:oddHBand="0" w:evenHBand="0" w:firstRowFirstColumn="0" w:firstRowLastColumn="0" w:lastRowFirstColumn="0" w:lastRowLastColumn="0"/>
            <w:tcW w:w="752" w:type="pct"/>
            <w:shd w:val="clear" w:color="auto" w:fill="A9EEB1"/>
            <w:vAlign w:val="center"/>
          </w:tcPr>
          <w:p w14:paraId="48591B4D"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r w:rsidRPr="005A0F35">
              <w:rPr>
                <w:rFonts w:asciiTheme="minorHAnsi" w:eastAsiaTheme="minorHAnsi" w:hAnsiTheme="minorHAnsi" w:cstheme="minorBidi"/>
                <w:smallCaps/>
                <w:color w:val="262626" w:themeColor="text1" w:themeTint="D9"/>
                <w:lang w:val="es-ES" w:eastAsia="en-US"/>
              </w:rPr>
              <w:t>Etapa</w:t>
            </w:r>
          </w:p>
        </w:tc>
        <w:tc>
          <w:tcPr>
            <w:tcW w:w="4248" w:type="pct"/>
            <w:gridSpan w:val="8"/>
            <w:vAlign w:val="center"/>
          </w:tcPr>
          <w:p w14:paraId="1D7928C6"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262626" w:themeColor="text1" w:themeTint="D9"/>
                <w:sz w:val="20"/>
                <w:szCs w:val="20"/>
                <w:lang w:val="es-ES" w:eastAsia="en-US"/>
              </w:rPr>
            </w:pPr>
            <w:r w:rsidRPr="005A0F35">
              <w:rPr>
                <w:rFonts w:asciiTheme="minorHAnsi" w:hAnsiTheme="minorHAnsi"/>
                <w:sz w:val="20"/>
                <w:szCs w:val="20"/>
                <w:lang w:val="es-ES"/>
              </w:rPr>
              <w:t>Etapa 1: Entrenamiento de inicio / Alta Dirección I</w:t>
            </w:r>
          </w:p>
        </w:tc>
      </w:tr>
      <w:tr w:rsidR="00AB79C2" w:rsidRPr="005A0F35" w14:paraId="3D87BF11" w14:textId="77777777" w:rsidTr="006C5361">
        <w:trPr>
          <w:trHeight w:val="576"/>
        </w:trPr>
        <w:tc>
          <w:tcPr>
            <w:cnfStyle w:val="001000000000" w:firstRow="0" w:lastRow="0" w:firstColumn="1" w:lastColumn="0" w:oddVBand="0" w:evenVBand="0" w:oddHBand="0" w:evenHBand="0" w:firstRowFirstColumn="0" w:firstRowLastColumn="0" w:lastRowFirstColumn="0" w:lastRowLastColumn="0"/>
            <w:tcW w:w="752" w:type="pct"/>
            <w:shd w:val="clear" w:color="auto" w:fill="A9EEB1"/>
            <w:vAlign w:val="center"/>
          </w:tcPr>
          <w:p w14:paraId="34D594D7"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r w:rsidRPr="005A0F35">
              <w:rPr>
                <w:rFonts w:asciiTheme="minorHAnsi" w:eastAsiaTheme="minorHAnsi" w:hAnsiTheme="minorHAnsi" w:cstheme="minorBidi"/>
                <w:smallCaps/>
                <w:color w:val="262626" w:themeColor="text1" w:themeTint="D9"/>
                <w:lang w:val="es-ES" w:eastAsia="en-US"/>
              </w:rPr>
              <w:t>Programa</w:t>
            </w:r>
          </w:p>
        </w:tc>
        <w:tc>
          <w:tcPr>
            <w:tcW w:w="4248" w:type="pct"/>
            <w:gridSpan w:val="8"/>
            <w:vAlign w:val="center"/>
          </w:tcPr>
          <w:p w14:paraId="00BBBE7F"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sz w:val="20"/>
                <w:szCs w:val="20"/>
                <w:lang w:val="es-ES"/>
              </w:rPr>
              <w:t>Esta es la primera unidad de formación. Esta sesión mejorará el "compromiso" de la alta dirección con la gestión de la energía y mostrará el análisis y los resultados de las carencias. El compromiso de la alta dirección es esencial para que los demás niveles cumplan sus funciones (gerente de energía, empleados). La formación se basa en los nuevos requisitos de la norma ISO 50001: 2018, que prevé una mayor participación de la alta dirección. Es muy relevante para las empresas, ya que la mayoría ha implementado la norma ISO 50001: 2011.</w:t>
            </w:r>
          </w:p>
        </w:tc>
      </w:tr>
      <w:tr w:rsidR="00AB79C2" w:rsidRPr="005A0F35" w14:paraId="56F68B8E" w14:textId="77777777" w:rsidTr="006C5361">
        <w:tc>
          <w:tcPr>
            <w:cnfStyle w:val="001000000000" w:firstRow="0" w:lastRow="0" w:firstColumn="1" w:lastColumn="0" w:oddVBand="0" w:evenVBand="0" w:oddHBand="0" w:evenHBand="0" w:firstRowFirstColumn="0" w:firstRowLastColumn="0" w:lastRowFirstColumn="0" w:lastRowLastColumn="0"/>
            <w:tcW w:w="752" w:type="pct"/>
            <w:vMerge w:val="restart"/>
            <w:shd w:val="clear" w:color="auto" w:fill="A9EEB1"/>
            <w:vAlign w:val="center"/>
          </w:tcPr>
          <w:p w14:paraId="1BB9BA1C"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r w:rsidRPr="005A0F35">
              <w:rPr>
                <w:rFonts w:asciiTheme="minorHAnsi" w:eastAsiaTheme="minorHAnsi" w:hAnsiTheme="minorHAnsi" w:cstheme="minorBidi"/>
                <w:smallCaps/>
                <w:color w:val="262626" w:themeColor="text1" w:themeTint="D9"/>
                <w:lang w:val="es-ES" w:eastAsia="en-US"/>
              </w:rPr>
              <w:t>Planificación</w:t>
            </w:r>
          </w:p>
        </w:tc>
        <w:tc>
          <w:tcPr>
            <w:tcW w:w="783" w:type="pct"/>
            <w:gridSpan w:val="2"/>
            <w:vMerge w:val="restart"/>
            <w:vAlign w:val="center"/>
          </w:tcPr>
          <w:p w14:paraId="3F257553"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eastAsiaTheme="minorHAnsi" w:hAnsiTheme="minorHAnsi" w:cstheme="minorHAnsi"/>
                <w:color w:val="262626" w:themeColor="text1" w:themeTint="D9"/>
                <w:sz w:val="20"/>
                <w:szCs w:val="20"/>
                <w:lang w:val="es-ES" w:eastAsia="en-US"/>
              </w:rPr>
              <w:t>Grupo objetivo</w:t>
            </w:r>
          </w:p>
        </w:tc>
        <w:tc>
          <w:tcPr>
            <w:tcW w:w="155" w:type="pct"/>
            <w:vAlign w:val="center"/>
          </w:tcPr>
          <w:p w14:paraId="1B12D0FD"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sz w:val="20"/>
                <w:szCs w:val="20"/>
                <w:lang w:val="es-ES"/>
              </w:rPr>
              <w:t>x</w:t>
            </w:r>
          </w:p>
        </w:tc>
        <w:tc>
          <w:tcPr>
            <w:tcW w:w="3310" w:type="pct"/>
            <w:gridSpan w:val="5"/>
            <w:tcBorders>
              <w:bottom w:val="single" w:sz="2" w:space="0" w:color="FFFFFF" w:themeColor="background1"/>
            </w:tcBorders>
            <w:vAlign w:val="center"/>
          </w:tcPr>
          <w:p w14:paraId="3BE8399A"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262626" w:themeColor="text1" w:themeTint="D9"/>
                <w:sz w:val="20"/>
                <w:szCs w:val="20"/>
                <w:lang w:val="es-ES" w:eastAsia="en-US"/>
              </w:rPr>
            </w:pPr>
            <w:r w:rsidRPr="005A0F35">
              <w:rPr>
                <w:rFonts w:asciiTheme="minorHAnsi" w:eastAsiaTheme="minorHAnsi" w:hAnsiTheme="minorHAnsi" w:cstheme="minorHAnsi"/>
                <w:color w:val="262626" w:themeColor="text1" w:themeTint="D9"/>
                <w:sz w:val="20"/>
                <w:szCs w:val="20"/>
                <w:lang w:val="es-ES" w:eastAsia="en-US"/>
              </w:rPr>
              <w:t>Alta dirección</w:t>
            </w:r>
          </w:p>
        </w:tc>
      </w:tr>
      <w:tr w:rsidR="00AB79C2" w:rsidRPr="005A0F35" w14:paraId="01054018" w14:textId="77777777" w:rsidTr="006C5361">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4B54B2C8"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Merge/>
            <w:vAlign w:val="center"/>
          </w:tcPr>
          <w:p w14:paraId="0B5B8797"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p>
        </w:tc>
        <w:tc>
          <w:tcPr>
            <w:tcW w:w="155" w:type="pct"/>
            <w:vAlign w:val="center"/>
          </w:tcPr>
          <w:p w14:paraId="516D52AB"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sz w:val="20"/>
                <w:szCs w:val="20"/>
                <w:lang w:val="es-ES"/>
              </w:rPr>
              <w:t>x</w:t>
            </w:r>
          </w:p>
        </w:tc>
        <w:tc>
          <w:tcPr>
            <w:tcW w:w="3310" w:type="pct"/>
            <w:gridSpan w:val="5"/>
            <w:tcBorders>
              <w:top w:val="single" w:sz="2" w:space="0" w:color="FFFFFF" w:themeColor="background1"/>
              <w:bottom w:val="single" w:sz="2" w:space="0" w:color="FFFFFF" w:themeColor="background1"/>
            </w:tcBorders>
            <w:vAlign w:val="center"/>
          </w:tcPr>
          <w:p w14:paraId="6A094768"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Mandos intermedios</w:t>
            </w:r>
          </w:p>
        </w:tc>
      </w:tr>
      <w:tr w:rsidR="00AB79C2" w:rsidRPr="005A0F35" w14:paraId="6A905BA5" w14:textId="77777777" w:rsidTr="006C5361">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41788DFE"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Merge/>
            <w:vAlign w:val="center"/>
          </w:tcPr>
          <w:p w14:paraId="48EC28BC"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p>
        </w:tc>
        <w:tc>
          <w:tcPr>
            <w:tcW w:w="155" w:type="pct"/>
            <w:vAlign w:val="center"/>
          </w:tcPr>
          <w:p w14:paraId="26E382F9"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p>
        </w:tc>
        <w:tc>
          <w:tcPr>
            <w:tcW w:w="3310" w:type="pct"/>
            <w:gridSpan w:val="5"/>
            <w:tcBorders>
              <w:top w:val="single" w:sz="2" w:space="0" w:color="FFFFFF" w:themeColor="background1"/>
            </w:tcBorders>
            <w:vAlign w:val="center"/>
          </w:tcPr>
          <w:p w14:paraId="012459A9"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Empleados en general</w:t>
            </w:r>
          </w:p>
        </w:tc>
      </w:tr>
      <w:tr w:rsidR="00AB79C2" w:rsidRPr="005A0F35" w14:paraId="5CB8CBEB" w14:textId="77777777" w:rsidTr="006C5361">
        <w:trPr>
          <w:trHeight w:val="407"/>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3F18AC13"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Align w:val="center"/>
          </w:tcPr>
          <w:p w14:paraId="308E1FC2"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Grupo específico:</w:t>
            </w:r>
          </w:p>
        </w:tc>
        <w:tc>
          <w:tcPr>
            <w:tcW w:w="3465" w:type="pct"/>
            <w:gridSpan w:val="6"/>
            <w:vAlign w:val="center"/>
          </w:tcPr>
          <w:p w14:paraId="57651A8F"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sz w:val="20"/>
                <w:szCs w:val="20"/>
                <w:lang w:val="es-ES"/>
              </w:rPr>
              <w:t>Responsables de la gestión energética.</w:t>
            </w:r>
          </w:p>
        </w:tc>
      </w:tr>
      <w:tr w:rsidR="00AB79C2" w:rsidRPr="005A0F35" w14:paraId="782FD9E8" w14:textId="77777777" w:rsidTr="006C5361">
        <w:trPr>
          <w:trHeight w:val="301"/>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3873ECC2"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Align w:val="center"/>
          </w:tcPr>
          <w:p w14:paraId="524EA804"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Número de participantes</w:t>
            </w:r>
          </w:p>
        </w:tc>
        <w:tc>
          <w:tcPr>
            <w:tcW w:w="3465" w:type="pct"/>
            <w:gridSpan w:val="6"/>
            <w:vAlign w:val="center"/>
          </w:tcPr>
          <w:p w14:paraId="2E907D9E"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olor w:val="262626" w:themeColor="text1" w:themeTint="D9"/>
                <w:sz w:val="20"/>
                <w:szCs w:val="20"/>
                <w:lang w:val="es-ES"/>
              </w:rPr>
              <w:t>Hasta 10 participantes</w:t>
            </w:r>
          </w:p>
        </w:tc>
      </w:tr>
      <w:tr w:rsidR="00AB79C2" w:rsidRPr="005A0F35" w14:paraId="3005478A" w14:textId="77777777" w:rsidTr="006C5361">
        <w:trPr>
          <w:trHeight w:val="223"/>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5EC78C5F"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Align w:val="center"/>
          </w:tcPr>
          <w:p w14:paraId="2860F25A"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Duración:</w:t>
            </w:r>
          </w:p>
        </w:tc>
        <w:tc>
          <w:tcPr>
            <w:tcW w:w="3465" w:type="pct"/>
            <w:gridSpan w:val="6"/>
            <w:vAlign w:val="center"/>
          </w:tcPr>
          <w:p w14:paraId="2A3E385E"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sz w:val="20"/>
                <w:szCs w:val="20"/>
                <w:lang w:val="es-ES"/>
              </w:rPr>
              <w:t>2 horas</w:t>
            </w:r>
          </w:p>
        </w:tc>
      </w:tr>
      <w:tr w:rsidR="00AB79C2" w:rsidRPr="005A0F35" w14:paraId="48822D2F" w14:textId="77777777" w:rsidTr="006C5361">
        <w:trPr>
          <w:trHeight w:val="603"/>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5596475B"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Align w:val="center"/>
          </w:tcPr>
          <w:p w14:paraId="013C602E"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Elementos:</w:t>
            </w:r>
          </w:p>
        </w:tc>
        <w:tc>
          <w:tcPr>
            <w:tcW w:w="3465" w:type="pct"/>
            <w:gridSpan w:val="6"/>
            <w:vAlign w:val="center"/>
          </w:tcPr>
          <w:p w14:paraId="04426A54" w14:textId="77777777" w:rsidR="00AB79C2" w:rsidRPr="005A0F35" w:rsidRDefault="00AB79C2" w:rsidP="00AB79C2">
            <w:pPr>
              <w:pStyle w:val="Textonotapie"/>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es-ES" w:eastAsia="en-US"/>
              </w:rPr>
            </w:pPr>
            <w:r w:rsidRPr="005A0F35">
              <w:rPr>
                <w:rFonts w:asciiTheme="minorHAnsi" w:eastAsiaTheme="minorHAnsi" w:hAnsiTheme="minorHAnsi" w:cstheme="minorBidi"/>
                <w:lang w:val="es-ES" w:eastAsia="en-US"/>
              </w:rPr>
              <w:t>Capacitación sobre las responsabilidades de la Alta Dirección.</w:t>
            </w:r>
          </w:p>
          <w:p w14:paraId="02F5D30A" w14:textId="77777777" w:rsidR="00AB79C2" w:rsidRPr="005A0F35" w:rsidRDefault="00AB79C2" w:rsidP="00AB79C2">
            <w:pPr>
              <w:pStyle w:val="Textonotapie"/>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es-ES" w:eastAsia="en-US"/>
              </w:rPr>
            </w:pPr>
            <w:r w:rsidRPr="005A0F35">
              <w:rPr>
                <w:rFonts w:asciiTheme="minorHAnsi" w:eastAsiaTheme="minorHAnsi" w:hAnsiTheme="minorHAnsi" w:cstheme="minorBidi"/>
                <w:lang w:val="es-ES" w:eastAsia="en-US"/>
              </w:rPr>
              <w:t>Análisis GAP entre los requerimientos y la realidad.</w:t>
            </w:r>
          </w:p>
          <w:p w14:paraId="2BADE049" w14:textId="77777777" w:rsidR="00AB79C2" w:rsidRPr="005A0F35" w:rsidRDefault="00AB79C2" w:rsidP="00AB79C2">
            <w:pPr>
              <w:pStyle w:val="Textonotapie"/>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es-ES" w:eastAsia="en-US"/>
              </w:rPr>
            </w:pPr>
            <w:r w:rsidRPr="005A0F35">
              <w:rPr>
                <w:rFonts w:asciiTheme="minorHAnsi" w:eastAsiaTheme="minorHAnsi" w:hAnsiTheme="minorHAnsi" w:cstheme="minorBidi"/>
                <w:lang w:val="es-ES" w:eastAsia="en-US"/>
              </w:rPr>
              <w:t>Mesa redonda para desarrollar el Análisis GAP por parte de la Alta Dirección.</w:t>
            </w:r>
          </w:p>
        </w:tc>
      </w:tr>
      <w:tr w:rsidR="00AB79C2" w:rsidRPr="005A0F35" w14:paraId="7A869582" w14:textId="77777777" w:rsidTr="006C5361">
        <w:trPr>
          <w:trHeight w:val="667"/>
        </w:trPr>
        <w:tc>
          <w:tcPr>
            <w:cnfStyle w:val="001000000000" w:firstRow="0" w:lastRow="0" w:firstColumn="1" w:lastColumn="0" w:oddVBand="0" w:evenVBand="0" w:oddHBand="0" w:evenHBand="0" w:firstRowFirstColumn="0" w:firstRowLastColumn="0" w:lastRowFirstColumn="0" w:lastRowLastColumn="0"/>
            <w:tcW w:w="752" w:type="pct"/>
            <w:vMerge w:val="restart"/>
            <w:shd w:val="clear" w:color="auto" w:fill="A9EEB1"/>
            <w:vAlign w:val="center"/>
          </w:tcPr>
          <w:p w14:paraId="450C493A"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r w:rsidRPr="005A0F35">
              <w:rPr>
                <w:rFonts w:asciiTheme="minorHAnsi" w:eastAsiaTheme="minorHAnsi" w:hAnsiTheme="minorHAnsi" w:cstheme="minorBidi"/>
                <w:smallCaps/>
                <w:color w:val="262626" w:themeColor="text1" w:themeTint="D9"/>
                <w:lang w:val="es-ES" w:eastAsia="en-US"/>
              </w:rPr>
              <w:t>Objetivos Generales</w:t>
            </w:r>
          </w:p>
        </w:tc>
        <w:tc>
          <w:tcPr>
            <w:tcW w:w="783" w:type="pct"/>
            <w:gridSpan w:val="2"/>
            <w:vAlign w:val="center"/>
          </w:tcPr>
          <w:p w14:paraId="03621828"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Objetivo:</w:t>
            </w:r>
          </w:p>
        </w:tc>
        <w:tc>
          <w:tcPr>
            <w:tcW w:w="3465" w:type="pct"/>
            <w:gridSpan w:val="6"/>
            <w:vAlign w:val="center"/>
          </w:tcPr>
          <w:p w14:paraId="65456117" w14:textId="77777777" w:rsidR="00AB79C2" w:rsidRPr="005A0F35" w:rsidRDefault="00AB79C2" w:rsidP="00AB79C2">
            <w:pPr>
              <w:pStyle w:val="Textonotapie"/>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es-ES" w:eastAsia="en-US"/>
              </w:rPr>
            </w:pPr>
            <w:r w:rsidRPr="005A0F35">
              <w:rPr>
                <w:rFonts w:asciiTheme="minorHAnsi" w:eastAsiaTheme="minorHAnsi" w:hAnsiTheme="minorHAnsi" w:cstheme="minorBidi"/>
                <w:lang w:val="es-ES" w:eastAsia="en-US"/>
              </w:rPr>
              <w:t>Crear conciencia sobre las responsabilidades de la Alta Dirección en la gestión energética.</w:t>
            </w:r>
          </w:p>
          <w:p w14:paraId="31AA8FCA" w14:textId="77777777" w:rsidR="00AB79C2" w:rsidRPr="005A0F35" w:rsidRDefault="00AB79C2" w:rsidP="00AB79C2">
            <w:pPr>
              <w:pStyle w:val="Textonotapie"/>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es-ES" w:eastAsia="en-US"/>
              </w:rPr>
            </w:pPr>
            <w:r w:rsidRPr="005A0F35">
              <w:rPr>
                <w:rFonts w:asciiTheme="minorHAnsi" w:eastAsiaTheme="minorHAnsi" w:hAnsiTheme="minorHAnsi" w:cstheme="minorBidi"/>
                <w:lang w:val="es-ES" w:eastAsia="en-US"/>
              </w:rPr>
              <w:t>Análisis GAP entre las responsabilidades necesarias y las responsabilidades reales.</w:t>
            </w:r>
          </w:p>
          <w:p w14:paraId="775B0974" w14:textId="77777777" w:rsidR="00AB79C2" w:rsidRPr="005A0F35" w:rsidRDefault="00AB79C2" w:rsidP="00AB79C2">
            <w:pPr>
              <w:pStyle w:val="Textonotapie"/>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es-ES" w:eastAsia="en-US"/>
              </w:rPr>
            </w:pPr>
            <w:r w:rsidRPr="005A0F35">
              <w:rPr>
                <w:rFonts w:asciiTheme="minorHAnsi" w:eastAsiaTheme="minorHAnsi" w:hAnsiTheme="minorHAnsi" w:cstheme="minorBidi"/>
                <w:lang w:val="es-ES" w:eastAsia="en-US"/>
              </w:rPr>
              <w:t>Crear compromiso de mejora.</w:t>
            </w:r>
          </w:p>
        </w:tc>
      </w:tr>
      <w:tr w:rsidR="00AB79C2" w:rsidRPr="005A0F35" w14:paraId="74A1D5D0" w14:textId="77777777" w:rsidTr="006C5361">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18228B7F"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Align w:val="center"/>
          </w:tcPr>
          <w:p w14:paraId="004E56F1"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Verificación:</w:t>
            </w:r>
          </w:p>
        </w:tc>
        <w:tc>
          <w:tcPr>
            <w:tcW w:w="3465" w:type="pct"/>
            <w:gridSpan w:val="6"/>
            <w:vAlign w:val="center"/>
          </w:tcPr>
          <w:p w14:paraId="5869F9D2"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sz w:val="20"/>
                <w:szCs w:val="20"/>
                <w:lang w:val="es-ES"/>
              </w:rPr>
              <w:t>Observación directa (es inapropiado realizar una prueba en este nivel).</w:t>
            </w:r>
          </w:p>
        </w:tc>
      </w:tr>
      <w:tr w:rsidR="00AB79C2" w:rsidRPr="005A0F35" w14:paraId="48F8FF9C" w14:textId="77777777" w:rsidTr="006C5361">
        <w:trPr>
          <w:trHeight w:val="997"/>
        </w:trPr>
        <w:tc>
          <w:tcPr>
            <w:cnfStyle w:val="001000000000" w:firstRow="0" w:lastRow="0" w:firstColumn="1" w:lastColumn="0" w:oddVBand="0" w:evenVBand="0" w:oddHBand="0" w:evenHBand="0" w:firstRowFirstColumn="0" w:firstRowLastColumn="0" w:lastRowFirstColumn="0" w:lastRowLastColumn="0"/>
            <w:tcW w:w="752" w:type="pct"/>
            <w:vMerge w:val="restart"/>
            <w:shd w:val="clear" w:color="auto" w:fill="A9EEB1"/>
            <w:vAlign w:val="center"/>
          </w:tcPr>
          <w:p w14:paraId="7F9483B2"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r w:rsidRPr="005A0F35">
              <w:rPr>
                <w:rFonts w:asciiTheme="minorHAnsi" w:eastAsiaTheme="minorHAnsi" w:hAnsiTheme="minorHAnsi" w:cstheme="minorBidi"/>
                <w:smallCaps/>
                <w:color w:val="262626" w:themeColor="text1" w:themeTint="D9"/>
                <w:lang w:val="es-ES" w:eastAsia="en-US"/>
              </w:rPr>
              <w:t>Objetivos Específicos</w:t>
            </w:r>
          </w:p>
        </w:tc>
        <w:tc>
          <w:tcPr>
            <w:tcW w:w="783" w:type="pct"/>
            <w:gridSpan w:val="2"/>
            <w:vAlign w:val="center"/>
          </w:tcPr>
          <w:p w14:paraId="7F8D3CAB" w14:textId="77777777" w:rsidR="00AB79C2" w:rsidRPr="005A0F35" w:rsidRDefault="00AB79C2" w:rsidP="00C5502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eastAsiaTheme="minorHAnsi" w:hAnsiTheme="minorHAnsi" w:cstheme="minorHAnsi"/>
                <w:color w:val="262626" w:themeColor="text1" w:themeTint="D9"/>
                <w:sz w:val="20"/>
                <w:szCs w:val="20"/>
                <w:lang w:val="es-ES" w:eastAsia="en-US"/>
              </w:rPr>
              <w:t>Objetivo:</w:t>
            </w:r>
          </w:p>
        </w:tc>
        <w:tc>
          <w:tcPr>
            <w:tcW w:w="3465" w:type="pct"/>
            <w:gridSpan w:val="6"/>
            <w:vAlign w:val="center"/>
          </w:tcPr>
          <w:p w14:paraId="685D79CF" w14:textId="77777777" w:rsidR="00AB79C2" w:rsidRPr="005A0F35" w:rsidRDefault="00AB79C2" w:rsidP="00AB79C2">
            <w:pPr>
              <w:pStyle w:val="Textonotapie"/>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262626" w:themeColor="text1" w:themeTint="D9"/>
                <w:lang w:val="es-ES" w:eastAsia="en-US"/>
              </w:rPr>
            </w:pPr>
            <w:r w:rsidRPr="005A0F35">
              <w:rPr>
                <w:rFonts w:asciiTheme="minorHAnsi" w:eastAsiaTheme="minorHAnsi" w:hAnsiTheme="minorHAnsi" w:cstheme="minorBidi"/>
                <w:lang w:val="es-ES" w:eastAsia="en-US"/>
              </w:rPr>
              <w:t>La Alta Dirección debe ser consciente de sus responsabilidades.</w:t>
            </w:r>
          </w:p>
          <w:p w14:paraId="6516E69E" w14:textId="77777777" w:rsidR="00AB79C2" w:rsidRPr="005A0F35" w:rsidRDefault="00AB79C2" w:rsidP="00AB79C2">
            <w:pPr>
              <w:pStyle w:val="Textonotapie"/>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262626" w:themeColor="text1" w:themeTint="D9"/>
                <w:lang w:val="es-ES" w:eastAsia="en-US"/>
              </w:rPr>
            </w:pPr>
            <w:r w:rsidRPr="005A0F35">
              <w:rPr>
                <w:rFonts w:asciiTheme="minorHAnsi" w:eastAsiaTheme="minorHAnsi" w:hAnsiTheme="minorHAnsi" w:cstheme="minorHAnsi"/>
                <w:color w:val="262626" w:themeColor="text1" w:themeTint="D9"/>
                <w:lang w:val="es-ES" w:eastAsia="en-US"/>
              </w:rPr>
              <w:t>La Alta Dirección debe ser consciente de las brechas entre los requisitos y la implementación real.</w:t>
            </w:r>
          </w:p>
          <w:p w14:paraId="3A9A353C" w14:textId="77777777" w:rsidR="00AB79C2" w:rsidRPr="005A0F35" w:rsidRDefault="00AB79C2" w:rsidP="00AB79C2">
            <w:pPr>
              <w:pStyle w:val="Textonotapie"/>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262626" w:themeColor="text1" w:themeTint="D9"/>
                <w:lang w:val="es-ES" w:eastAsia="en-US"/>
              </w:rPr>
            </w:pPr>
            <w:r w:rsidRPr="005A0F35">
              <w:rPr>
                <w:rFonts w:asciiTheme="minorHAnsi" w:eastAsiaTheme="minorHAnsi" w:hAnsiTheme="minorHAnsi" w:cstheme="minorHAnsi"/>
                <w:color w:val="262626" w:themeColor="text1" w:themeTint="D9"/>
                <w:lang w:val="es-ES" w:eastAsia="en-US"/>
              </w:rPr>
              <w:t>La Alta Dirección debe crear objetivos para la adaptación.</w:t>
            </w:r>
          </w:p>
        </w:tc>
      </w:tr>
      <w:tr w:rsidR="00AB79C2" w:rsidRPr="005A0F35" w14:paraId="74A20386" w14:textId="77777777" w:rsidTr="006C5361">
        <w:trPr>
          <w:trHeight w:val="58"/>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1372E216"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Align w:val="center"/>
          </w:tcPr>
          <w:p w14:paraId="39581460" w14:textId="77777777" w:rsidR="00AB79C2" w:rsidRPr="005A0F35" w:rsidRDefault="00AB79C2" w:rsidP="00C5502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Verificación:</w:t>
            </w:r>
          </w:p>
        </w:tc>
        <w:tc>
          <w:tcPr>
            <w:tcW w:w="3465" w:type="pct"/>
            <w:gridSpan w:val="6"/>
            <w:vAlign w:val="center"/>
          </w:tcPr>
          <w:p w14:paraId="03126B10"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sz w:val="20"/>
                <w:szCs w:val="20"/>
                <w:lang w:val="es-ES"/>
              </w:rPr>
              <w:t>Observación directa (es inapropiado realizar una prueba en este nivel).</w:t>
            </w:r>
          </w:p>
        </w:tc>
      </w:tr>
      <w:tr w:rsidR="00AB79C2" w:rsidRPr="005A0F35" w14:paraId="30AB60C9" w14:textId="77777777" w:rsidTr="006C5361">
        <w:trPr>
          <w:trHeight w:val="386"/>
        </w:trPr>
        <w:tc>
          <w:tcPr>
            <w:cnfStyle w:val="001000000000" w:firstRow="0" w:lastRow="0" w:firstColumn="1" w:lastColumn="0" w:oddVBand="0" w:evenVBand="0" w:oddHBand="0" w:evenHBand="0" w:firstRowFirstColumn="0" w:firstRowLastColumn="0" w:lastRowFirstColumn="0" w:lastRowLastColumn="0"/>
            <w:tcW w:w="752" w:type="pct"/>
            <w:vMerge w:val="restart"/>
            <w:shd w:val="clear" w:color="auto" w:fill="A9EEB1"/>
            <w:vAlign w:val="center"/>
          </w:tcPr>
          <w:p w14:paraId="066E2D29"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r w:rsidRPr="005A0F35">
              <w:rPr>
                <w:rFonts w:asciiTheme="minorHAnsi" w:eastAsiaTheme="minorHAnsi" w:hAnsiTheme="minorHAnsi" w:cstheme="minorBidi"/>
                <w:smallCaps/>
                <w:color w:val="262626" w:themeColor="text1" w:themeTint="D9"/>
                <w:lang w:val="es-ES" w:eastAsia="en-US"/>
              </w:rPr>
              <w:t>Concepto</w:t>
            </w:r>
          </w:p>
        </w:tc>
        <w:tc>
          <w:tcPr>
            <w:tcW w:w="783" w:type="pct"/>
            <w:gridSpan w:val="2"/>
            <w:vAlign w:val="center"/>
          </w:tcPr>
          <w:p w14:paraId="4BC743A7" w14:textId="77777777" w:rsidR="00AB79C2" w:rsidRPr="005A0F35" w:rsidRDefault="00AB79C2" w:rsidP="00C5502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Tipo de material:</w:t>
            </w:r>
          </w:p>
        </w:tc>
        <w:tc>
          <w:tcPr>
            <w:tcW w:w="3465" w:type="pct"/>
            <w:gridSpan w:val="6"/>
            <w:vAlign w:val="center"/>
          </w:tcPr>
          <w:p w14:paraId="367B3BA1"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sz w:val="20"/>
                <w:szCs w:val="20"/>
                <w:lang w:val="es-ES"/>
              </w:rPr>
              <w:t>Diapositivas, lista de verificación, rotafolio</w:t>
            </w:r>
          </w:p>
        </w:tc>
      </w:tr>
      <w:tr w:rsidR="00AB79C2" w:rsidRPr="005A0F35" w14:paraId="14863037" w14:textId="77777777" w:rsidTr="006C5361">
        <w:trPr>
          <w:trHeight w:val="573"/>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39ACDBEE"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Align w:val="center"/>
          </w:tcPr>
          <w:p w14:paraId="377E1C4B" w14:textId="77777777" w:rsidR="00AB79C2" w:rsidRPr="005A0F35" w:rsidRDefault="00AB79C2" w:rsidP="00C5502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Contribución:</w:t>
            </w:r>
          </w:p>
        </w:tc>
        <w:tc>
          <w:tcPr>
            <w:tcW w:w="3465" w:type="pct"/>
            <w:gridSpan w:val="6"/>
            <w:vAlign w:val="center"/>
          </w:tcPr>
          <w:p w14:paraId="7C10331F"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sz w:val="20"/>
                <w:szCs w:val="20"/>
                <w:lang w:val="es-ES"/>
              </w:rPr>
              <w:t>La gestión de la energía no puede funcionar correctamente sin el liderazgo de la alta dirección. Este elemento de formación ayuda a que la gerencia superior sea consciente de su papel en la gestión de la energía y muestra las brechas</w:t>
            </w:r>
          </w:p>
        </w:tc>
      </w:tr>
      <w:tr w:rsidR="00AB79C2" w:rsidRPr="005A0F35" w14:paraId="7154DA7E" w14:textId="77777777" w:rsidTr="006C5361">
        <w:trPr>
          <w:trHeight w:val="411"/>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7AF45C82"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783" w:type="pct"/>
            <w:gridSpan w:val="2"/>
            <w:vAlign w:val="center"/>
          </w:tcPr>
          <w:p w14:paraId="0B8DDFB7" w14:textId="77777777" w:rsidR="00AB79C2" w:rsidRPr="005A0F35" w:rsidRDefault="00AB79C2" w:rsidP="00C5502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color w:val="262626" w:themeColor="text1" w:themeTint="D9"/>
                <w:sz w:val="20"/>
                <w:szCs w:val="20"/>
                <w:lang w:val="es-ES"/>
              </w:rPr>
              <w:t>Niveles de formación:</w:t>
            </w:r>
          </w:p>
        </w:tc>
        <w:tc>
          <w:tcPr>
            <w:tcW w:w="3465" w:type="pct"/>
            <w:gridSpan w:val="6"/>
            <w:vAlign w:val="center"/>
          </w:tcPr>
          <w:p w14:paraId="5CCC25F4" w14:textId="77777777" w:rsidR="00AB79C2" w:rsidRPr="005A0F35" w:rsidRDefault="00AB79C2" w:rsidP="00C5502B">
            <w:pPr>
              <w:keepLines/>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5A0F35">
              <w:rPr>
                <w:rFonts w:asciiTheme="minorHAnsi" w:hAnsiTheme="minorHAnsi" w:cstheme="minorHAnsi"/>
                <w:sz w:val="20"/>
                <w:szCs w:val="20"/>
                <w:lang w:val="es-ES"/>
              </w:rPr>
              <w:t>Comprender: los requisitos.</w:t>
            </w:r>
          </w:p>
          <w:p w14:paraId="1ED8DD81" w14:textId="77777777" w:rsidR="00AB79C2" w:rsidRPr="005A0F35" w:rsidRDefault="00AB79C2" w:rsidP="00C5502B">
            <w:pPr>
              <w:keepLines/>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5A0F35">
              <w:rPr>
                <w:rFonts w:asciiTheme="minorHAnsi" w:hAnsiTheme="minorHAnsi" w:cstheme="minorHAnsi"/>
                <w:sz w:val="20"/>
                <w:szCs w:val="20"/>
                <w:lang w:val="es-ES"/>
              </w:rPr>
              <w:t>Analizar: la situación actual.</w:t>
            </w:r>
          </w:p>
          <w:p w14:paraId="00B66BDE"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sz w:val="20"/>
                <w:szCs w:val="20"/>
                <w:lang w:val="es-ES"/>
              </w:rPr>
              <w:t>Crear: objetivos para su adopción.</w:t>
            </w:r>
          </w:p>
        </w:tc>
      </w:tr>
      <w:tr w:rsidR="00AB79C2" w:rsidRPr="005A0F35" w14:paraId="3A6E144E" w14:textId="77777777" w:rsidTr="006C5361">
        <w:trPr>
          <w:trHeight w:val="504"/>
        </w:trPr>
        <w:tc>
          <w:tcPr>
            <w:cnfStyle w:val="001000000000" w:firstRow="0" w:lastRow="0" w:firstColumn="1" w:lastColumn="0" w:oddVBand="0" w:evenVBand="0" w:oddHBand="0" w:evenHBand="0" w:firstRowFirstColumn="0" w:firstRowLastColumn="0" w:lastRowFirstColumn="0" w:lastRowLastColumn="0"/>
            <w:tcW w:w="752" w:type="pct"/>
            <w:shd w:val="clear" w:color="auto" w:fill="A9EEB1"/>
            <w:vAlign w:val="center"/>
          </w:tcPr>
          <w:p w14:paraId="5F4F127A"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r w:rsidRPr="005A0F35">
              <w:rPr>
                <w:rFonts w:asciiTheme="minorHAnsi" w:eastAsiaTheme="minorHAnsi" w:hAnsiTheme="minorHAnsi" w:cstheme="minorBidi"/>
                <w:smallCaps/>
                <w:color w:val="262626" w:themeColor="text1" w:themeTint="D9"/>
                <w:lang w:val="es-ES" w:eastAsia="en-US"/>
              </w:rPr>
              <w:t>Actividades de aprendizaje</w:t>
            </w:r>
          </w:p>
        </w:tc>
        <w:tc>
          <w:tcPr>
            <w:tcW w:w="4248" w:type="pct"/>
            <w:gridSpan w:val="8"/>
            <w:vAlign w:val="center"/>
          </w:tcPr>
          <w:p w14:paraId="7784BDB1"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Las responsabilidades de la alta dirección dentro de la gestión de la energía se presentarán de acuerdo con la norma ISO 50001: 2018. Luego, se llevará a cabo una discusión sobre cómo es el análisis de contexto y las partes interesadas y el Análisis de GAP.</w:t>
            </w:r>
          </w:p>
        </w:tc>
      </w:tr>
      <w:tr w:rsidR="00AB79C2" w:rsidRPr="005A0F35" w14:paraId="3C8AA3F1" w14:textId="77777777" w:rsidTr="006C5361">
        <w:trPr>
          <w:trHeight w:val="274"/>
        </w:trPr>
        <w:tc>
          <w:tcPr>
            <w:cnfStyle w:val="001000000000" w:firstRow="0" w:lastRow="0" w:firstColumn="1" w:lastColumn="0" w:oddVBand="0" w:evenVBand="0" w:oddHBand="0" w:evenHBand="0" w:firstRowFirstColumn="0" w:firstRowLastColumn="0" w:lastRowFirstColumn="0" w:lastRowLastColumn="0"/>
            <w:tcW w:w="752" w:type="pct"/>
            <w:vMerge w:val="restart"/>
            <w:shd w:val="clear" w:color="auto" w:fill="A9EEB1"/>
            <w:vAlign w:val="center"/>
          </w:tcPr>
          <w:p w14:paraId="2C0DC87B"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r w:rsidRPr="005A0F35">
              <w:rPr>
                <w:rFonts w:asciiTheme="minorHAnsi" w:eastAsiaTheme="minorHAnsi" w:hAnsiTheme="minorHAnsi" w:cstheme="minorBidi"/>
                <w:smallCaps/>
                <w:color w:val="262626" w:themeColor="text1" w:themeTint="D9"/>
                <w:lang w:val="es-ES" w:eastAsia="en-US"/>
              </w:rPr>
              <w:t>Método de aprendizaje</w:t>
            </w:r>
          </w:p>
        </w:tc>
        <w:tc>
          <w:tcPr>
            <w:tcW w:w="156" w:type="pct"/>
            <w:vAlign w:val="center"/>
          </w:tcPr>
          <w:p w14:paraId="27D0EFDA"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sz w:val="20"/>
                <w:szCs w:val="20"/>
                <w:lang w:val="es-ES" w:eastAsia="es-ES"/>
              </w:rPr>
              <w:t>x</w:t>
            </w:r>
          </w:p>
        </w:tc>
        <w:tc>
          <w:tcPr>
            <w:tcW w:w="1107" w:type="pct"/>
            <w:gridSpan w:val="3"/>
            <w:tcBorders>
              <w:bottom w:val="single" w:sz="2" w:space="0" w:color="FFFFFF" w:themeColor="background1"/>
            </w:tcBorders>
            <w:vAlign w:val="center"/>
          </w:tcPr>
          <w:p w14:paraId="158E3785"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Clase magistral</w:t>
            </w:r>
          </w:p>
        </w:tc>
        <w:tc>
          <w:tcPr>
            <w:tcW w:w="155" w:type="pct"/>
            <w:vAlign w:val="center"/>
          </w:tcPr>
          <w:p w14:paraId="0BF49B13"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p>
        </w:tc>
        <w:tc>
          <w:tcPr>
            <w:tcW w:w="1001" w:type="pct"/>
            <w:tcBorders>
              <w:bottom w:val="single" w:sz="2" w:space="0" w:color="FFFFFF" w:themeColor="background1"/>
            </w:tcBorders>
            <w:vAlign w:val="center"/>
          </w:tcPr>
          <w:p w14:paraId="41EDCC65"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Caso de estudio</w:t>
            </w:r>
          </w:p>
        </w:tc>
        <w:tc>
          <w:tcPr>
            <w:tcW w:w="155" w:type="pct"/>
            <w:vAlign w:val="center"/>
          </w:tcPr>
          <w:p w14:paraId="5AC703C6"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x</w:t>
            </w:r>
          </w:p>
        </w:tc>
        <w:tc>
          <w:tcPr>
            <w:tcW w:w="1674" w:type="pct"/>
            <w:tcBorders>
              <w:bottom w:val="single" w:sz="2" w:space="0" w:color="FFFFFF" w:themeColor="background1"/>
            </w:tcBorders>
            <w:vAlign w:val="center"/>
          </w:tcPr>
          <w:p w14:paraId="1FE8AEE7"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Análisis diagnostico</w:t>
            </w:r>
          </w:p>
        </w:tc>
      </w:tr>
      <w:tr w:rsidR="00AB79C2" w:rsidRPr="005A0F35" w14:paraId="72C623EA" w14:textId="77777777" w:rsidTr="006C5361">
        <w:trPr>
          <w:trHeight w:val="273"/>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2DC02E17"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156" w:type="pct"/>
            <w:vAlign w:val="center"/>
          </w:tcPr>
          <w:p w14:paraId="40B50484"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sz w:val="20"/>
                <w:szCs w:val="20"/>
                <w:lang w:val="es-ES" w:eastAsia="es-ES"/>
              </w:rPr>
              <w:t>x</w:t>
            </w:r>
          </w:p>
        </w:tc>
        <w:tc>
          <w:tcPr>
            <w:tcW w:w="1107" w:type="pct"/>
            <w:gridSpan w:val="3"/>
            <w:tcBorders>
              <w:top w:val="single" w:sz="2" w:space="0" w:color="FFFFFF" w:themeColor="background1"/>
              <w:bottom w:val="single" w:sz="2" w:space="0" w:color="FFFFFF" w:themeColor="background1"/>
            </w:tcBorders>
            <w:vAlign w:val="center"/>
          </w:tcPr>
          <w:p w14:paraId="7B7B25D3"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Foro de discusión</w:t>
            </w:r>
          </w:p>
        </w:tc>
        <w:tc>
          <w:tcPr>
            <w:tcW w:w="155" w:type="pct"/>
            <w:vAlign w:val="center"/>
          </w:tcPr>
          <w:p w14:paraId="3E6702BE"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p>
        </w:tc>
        <w:tc>
          <w:tcPr>
            <w:tcW w:w="1001" w:type="pct"/>
            <w:tcBorders>
              <w:top w:val="single" w:sz="2" w:space="0" w:color="FFFFFF" w:themeColor="background1"/>
              <w:bottom w:val="single" w:sz="2" w:space="0" w:color="FFFFFF" w:themeColor="background1"/>
            </w:tcBorders>
            <w:vAlign w:val="center"/>
          </w:tcPr>
          <w:p w14:paraId="10E10CDE"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Auto aprendizaje</w:t>
            </w:r>
          </w:p>
        </w:tc>
        <w:tc>
          <w:tcPr>
            <w:tcW w:w="155" w:type="pct"/>
            <w:vAlign w:val="center"/>
          </w:tcPr>
          <w:p w14:paraId="24B74BF6"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p>
        </w:tc>
        <w:tc>
          <w:tcPr>
            <w:tcW w:w="1674" w:type="pct"/>
            <w:tcBorders>
              <w:top w:val="single" w:sz="2" w:space="0" w:color="FFFFFF" w:themeColor="background1"/>
              <w:bottom w:val="single" w:sz="2" w:space="0" w:color="FFFFFF" w:themeColor="background1"/>
            </w:tcBorders>
            <w:vAlign w:val="center"/>
          </w:tcPr>
          <w:p w14:paraId="26E9CF65"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Aprendizaje basado en problemas</w:t>
            </w:r>
          </w:p>
        </w:tc>
      </w:tr>
      <w:tr w:rsidR="00AB79C2" w:rsidRPr="005A0F35" w14:paraId="7F79C089" w14:textId="77777777" w:rsidTr="006C5361">
        <w:trPr>
          <w:trHeight w:val="273"/>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vAlign w:val="center"/>
          </w:tcPr>
          <w:p w14:paraId="365CBA20"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p>
        </w:tc>
        <w:tc>
          <w:tcPr>
            <w:tcW w:w="156" w:type="pct"/>
            <w:vAlign w:val="center"/>
          </w:tcPr>
          <w:p w14:paraId="1E5D29AE"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p>
        </w:tc>
        <w:tc>
          <w:tcPr>
            <w:tcW w:w="1107" w:type="pct"/>
            <w:gridSpan w:val="3"/>
            <w:tcBorders>
              <w:top w:val="single" w:sz="2" w:space="0" w:color="FFFFFF" w:themeColor="background1"/>
            </w:tcBorders>
            <w:vAlign w:val="center"/>
          </w:tcPr>
          <w:p w14:paraId="7714B9B2"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Juego de rol</w:t>
            </w:r>
          </w:p>
        </w:tc>
        <w:tc>
          <w:tcPr>
            <w:tcW w:w="155" w:type="pct"/>
            <w:vAlign w:val="center"/>
          </w:tcPr>
          <w:p w14:paraId="7124D86C"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x</w:t>
            </w:r>
          </w:p>
        </w:tc>
        <w:tc>
          <w:tcPr>
            <w:tcW w:w="1001" w:type="pct"/>
            <w:tcBorders>
              <w:top w:val="single" w:sz="2" w:space="0" w:color="FFFFFF" w:themeColor="background1"/>
            </w:tcBorders>
            <w:vAlign w:val="center"/>
          </w:tcPr>
          <w:p w14:paraId="2D8FA3B1"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Aprendizaje cooperativo</w:t>
            </w:r>
          </w:p>
        </w:tc>
        <w:tc>
          <w:tcPr>
            <w:tcW w:w="155" w:type="pct"/>
            <w:vAlign w:val="center"/>
          </w:tcPr>
          <w:p w14:paraId="7A878BE6"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p>
        </w:tc>
        <w:tc>
          <w:tcPr>
            <w:tcW w:w="1674" w:type="pct"/>
            <w:tcBorders>
              <w:top w:val="single" w:sz="2" w:space="0" w:color="FFFFFF" w:themeColor="background1"/>
            </w:tcBorders>
            <w:vAlign w:val="center"/>
          </w:tcPr>
          <w:p w14:paraId="3D0EE526"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eastAsia="Calibri" w:hAnsiTheme="minorHAnsi" w:cstheme="minorHAnsi"/>
                <w:sz w:val="20"/>
                <w:szCs w:val="20"/>
                <w:lang w:val="es-ES" w:eastAsia="es-ES"/>
              </w:rPr>
              <w:t>Otros</w:t>
            </w:r>
          </w:p>
        </w:tc>
      </w:tr>
      <w:tr w:rsidR="00AB79C2" w:rsidRPr="005A0F35" w14:paraId="41F9273F" w14:textId="77777777" w:rsidTr="006C5361">
        <w:trPr>
          <w:trHeight w:val="102"/>
        </w:trPr>
        <w:tc>
          <w:tcPr>
            <w:cnfStyle w:val="001000000000" w:firstRow="0" w:lastRow="0" w:firstColumn="1" w:lastColumn="0" w:oddVBand="0" w:evenVBand="0" w:oddHBand="0" w:evenHBand="0" w:firstRowFirstColumn="0" w:firstRowLastColumn="0" w:lastRowFirstColumn="0" w:lastRowLastColumn="0"/>
            <w:tcW w:w="752" w:type="pct"/>
            <w:vMerge w:val="restart"/>
            <w:shd w:val="clear" w:color="auto" w:fill="A9EEB1"/>
            <w:vAlign w:val="center"/>
          </w:tcPr>
          <w:p w14:paraId="7CDC50E3" w14:textId="77777777" w:rsidR="00AB79C2" w:rsidRPr="005A0F35" w:rsidRDefault="00AB79C2" w:rsidP="00C5502B">
            <w:pPr>
              <w:jc w:val="center"/>
              <w:rPr>
                <w:rFonts w:asciiTheme="minorHAnsi" w:eastAsiaTheme="minorHAnsi" w:hAnsiTheme="minorHAnsi" w:cstheme="minorBidi"/>
                <w:smallCaps/>
                <w:color w:val="262626" w:themeColor="text1" w:themeTint="D9"/>
                <w:lang w:val="es-ES" w:eastAsia="en-US"/>
              </w:rPr>
            </w:pPr>
            <w:r w:rsidRPr="005A0F35">
              <w:rPr>
                <w:rFonts w:asciiTheme="minorHAnsi" w:eastAsiaTheme="minorHAnsi" w:hAnsiTheme="minorHAnsi" w:cstheme="minorBidi"/>
                <w:smallCaps/>
                <w:color w:val="262626" w:themeColor="text1" w:themeTint="D9"/>
                <w:lang w:val="es-ES" w:eastAsia="en-US"/>
              </w:rPr>
              <w:t>Recursos de aprendizaje</w:t>
            </w:r>
          </w:p>
        </w:tc>
        <w:tc>
          <w:tcPr>
            <w:tcW w:w="783" w:type="pct"/>
            <w:gridSpan w:val="2"/>
            <w:vAlign w:val="center"/>
          </w:tcPr>
          <w:p w14:paraId="2B17FDE4"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eastAsiaTheme="minorHAnsi" w:hAnsiTheme="minorHAnsi" w:cstheme="minorBidi"/>
                <w:sz w:val="20"/>
                <w:szCs w:val="20"/>
                <w:lang w:val="es-ES" w:eastAsia="en-US"/>
              </w:rPr>
              <w:t>Formador:</w:t>
            </w:r>
          </w:p>
        </w:tc>
        <w:tc>
          <w:tcPr>
            <w:tcW w:w="3465" w:type="pct"/>
            <w:gridSpan w:val="6"/>
            <w:vAlign w:val="center"/>
          </w:tcPr>
          <w:p w14:paraId="5273DD2F" w14:textId="77777777" w:rsidR="00AB79C2" w:rsidRPr="005A0F35" w:rsidRDefault="00AB79C2" w:rsidP="00C5502B">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262626" w:themeColor="text1" w:themeTint="D9"/>
                <w:sz w:val="20"/>
                <w:szCs w:val="20"/>
                <w:lang w:val="es-ES" w:eastAsia="es-ES"/>
              </w:rPr>
            </w:pPr>
            <w:r w:rsidRPr="005A0F35">
              <w:rPr>
                <w:rFonts w:asciiTheme="minorHAnsi" w:hAnsiTheme="minorHAnsi" w:cstheme="minorHAnsi"/>
                <w:sz w:val="20"/>
                <w:szCs w:val="20"/>
                <w:lang w:val="es-ES"/>
              </w:rPr>
              <w:t>Diapositivas sobre responsabilidades, lista de verificación para el análisis GAP, rotafolio</w:t>
            </w:r>
          </w:p>
        </w:tc>
      </w:tr>
      <w:tr w:rsidR="00AB79C2" w:rsidRPr="005A0F35" w14:paraId="129110E6" w14:textId="77777777" w:rsidTr="006C5361">
        <w:trPr>
          <w:trHeight w:val="406"/>
        </w:trPr>
        <w:tc>
          <w:tcPr>
            <w:cnfStyle w:val="001000000000" w:firstRow="0" w:lastRow="0" w:firstColumn="1" w:lastColumn="0" w:oddVBand="0" w:evenVBand="0" w:oddHBand="0" w:evenHBand="0" w:firstRowFirstColumn="0" w:firstRowLastColumn="0" w:lastRowFirstColumn="0" w:lastRowLastColumn="0"/>
            <w:tcW w:w="752" w:type="pct"/>
            <w:vMerge/>
            <w:shd w:val="clear" w:color="auto" w:fill="A9EEB1"/>
          </w:tcPr>
          <w:p w14:paraId="0E636731" w14:textId="77777777" w:rsidR="00AB79C2" w:rsidRPr="005A0F35" w:rsidRDefault="00AB79C2" w:rsidP="00C5502B">
            <w:pPr>
              <w:rPr>
                <w:rFonts w:asciiTheme="minorHAnsi" w:hAnsiTheme="minorHAnsi"/>
                <w:sz w:val="20"/>
                <w:szCs w:val="20"/>
                <w:lang w:val="es-ES"/>
              </w:rPr>
            </w:pPr>
          </w:p>
        </w:tc>
        <w:tc>
          <w:tcPr>
            <w:tcW w:w="783" w:type="pct"/>
            <w:gridSpan w:val="2"/>
            <w:vAlign w:val="center"/>
          </w:tcPr>
          <w:p w14:paraId="167A8B56"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62626" w:themeColor="text1" w:themeTint="D9"/>
                <w:sz w:val="20"/>
                <w:szCs w:val="20"/>
                <w:lang w:val="es-ES"/>
              </w:rPr>
            </w:pPr>
            <w:r w:rsidRPr="005A0F35">
              <w:rPr>
                <w:rFonts w:asciiTheme="minorHAnsi" w:hAnsiTheme="minorHAnsi"/>
                <w:sz w:val="20"/>
                <w:szCs w:val="20"/>
                <w:lang w:val="es-ES"/>
              </w:rPr>
              <w:t>Participantes:</w:t>
            </w:r>
          </w:p>
        </w:tc>
        <w:tc>
          <w:tcPr>
            <w:tcW w:w="3465" w:type="pct"/>
            <w:gridSpan w:val="6"/>
            <w:vAlign w:val="center"/>
          </w:tcPr>
          <w:p w14:paraId="76400F1F" w14:textId="77777777" w:rsidR="00AB79C2" w:rsidRPr="005A0F35" w:rsidRDefault="00AB79C2" w:rsidP="00C5502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626" w:themeColor="text1" w:themeTint="D9"/>
                <w:sz w:val="20"/>
                <w:szCs w:val="20"/>
                <w:lang w:val="es-ES"/>
              </w:rPr>
            </w:pPr>
            <w:r w:rsidRPr="005A0F35">
              <w:rPr>
                <w:rFonts w:asciiTheme="minorHAnsi" w:hAnsiTheme="minorHAnsi" w:cstheme="minorHAnsi"/>
                <w:sz w:val="20"/>
                <w:szCs w:val="20"/>
                <w:lang w:val="es-ES"/>
              </w:rPr>
              <w:t>Organigrama, bolígrafo y papel.</w:t>
            </w:r>
          </w:p>
        </w:tc>
      </w:tr>
    </w:tbl>
    <w:p w14:paraId="6ADECCD9" w14:textId="77777777" w:rsidR="00AB79C2" w:rsidRPr="005A0F35" w:rsidRDefault="00AB79C2">
      <w:pPr>
        <w:rPr>
          <w:lang w:val="es-ES"/>
        </w:rPr>
      </w:pPr>
    </w:p>
    <w:sectPr w:rsidR="00AB79C2" w:rsidRPr="005A0F35" w:rsidSect="0027187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D2554" w14:textId="77777777" w:rsidR="005D628A" w:rsidRDefault="005D628A" w:rsidP="005D628A">
      <w:pPr>
        <w:spacing w:after="0" w:line="240" w:lineRule="auto"/>
      </w:pPr>
      <w:r>
        <w:separator/>
      </w:r>
    </w:p>
  </w:endnote>
  <w:endnote w:type="continuationSeparator" w:id="0">
    <w:p w14:paraId="0934A6EB" w14:textId="77777777" w:rsidR="005D628A" w:rsidRDefault="005D628A" w:rsidP="005D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8E61" w14:textId="77777777" w:rsidR="005D628A" w:rsidRDefault="005D62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567E" w14:textId="4FE1F368" w:rsidR="005D628A" w:rsidRPr="005D628A" w:rsidRDefault="005D628A" w:rsidP="005D628A">
    <w:pPr>
      <w:pStyle w:val="Piedepgina"/>
      <w:jc w:val="center"/>
      <w:rPr>
        <w:color w:val="808080"/>
        <w:sz w:val="18"/>
        <w:szCs w:val="18"/>
        <w:lang w:val="en-GB"/>
      </w:rPr>
    </w:pPr>
    <w:r w:rsidRPr="005A1885">
      <w:rPr>
        <w:rFonts w:cs="Calibri"/>
        <w:color w:val="808080"/>
        <w:sz w:val="18"/>
        <w:szCs w:val="18"/>
        <w:lang w:val="en-US"/>
      </w:rPr>
      <w:t>©</w:t>
    </w:r>
    <w:r w:rsidRPr="005A1885">
      <w:rPr>
        <w:color w:val="808080"/>
        <w:sz w:val="18"/>
        <w:szCs w:val="18"/>
        <w:lang w:val="en-US"/>
      </w:rPr>
      <w:t xml:space="preserve"> 2018 </w:t>
    </w:r>
    <w:proofErr w:type="gramStart"/>
    <w:r w:rsidRPr="005A1885">
      <w:rPr>
        <w:color w:val="808080"/>
        <w:sz w:val="18"/>
        <w:szCs w:val="18"/>
        <w:lang w:val="en-US"/>
      </w:rPr>
      <w:t>INDUCE  |</w:t>
    </w:r>
    <w:proofErr w:type="gramEnd"/>
    <w:r w:rsidRPr="005A1885">
      <w:rPr>
        <w:color w:val="808080"/>
        <w:sz w:val="18"/>
        <w:szCs w:val="18"/>
        <w:lang w:val="en-US"/>
      </w:rPr>
      <w:t xml:space="preserve">  Horizon 2020 – EE-15-2017  |  </w:t>
    </w:r>
    <w:r w:rsidRPr="005A1885">
      <w:rPr>
        <w:color w:val="808080"/>
        <w:sz w:val="18"/>
        <w:szCs w:val="18"/>
        <w:lang w:val="en-GB"/>
      </w:rPr>
      <w:t>Grant Agreement No. 785047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2C880" w14:textId="77777777" w:rsidR="005D628A" w:rsidRDefault="005D62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A1FBA" w14:textId="77777777" w:rsidR="005D628A" w:rsidRDefault="005D628A" w:rsidP="005D628A">
      <w:pPr>
        <w:spacing w:after="0" w:line="240" w:lineRule="auto"/>
      </w:pPr>
      <w:r>
        <w:separator/>
      </w:r>
    </w:p>
  </w:footnote>
  <w:footnote w:type="continuationSeparator" w:id="0">
    <w:p w14:paraId="0F99161D" w14:textId="77777777" w:rsidR="005D628A" w:rsidRDefault="005D628A" w:rsidP="005D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E8F62" w14:textId="77777777" w:rsidR="005D628A" w:rsidRDefault="005D62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4D3C4" w14:textId="2EE77E85" w:rsidR="005D628A" w:rsidRPr="005A1885" w:rsidRDefault="005D628A" w:rsidP="005D628A">
    <w:pPr>
      <w:pStyle w:val="Encabezado"/>
      <w:rPr>
        <w:color w:val="808080"/>
        <w:sz w:val="18"/>
        <w:szCs w:val="18"/>
      </w:rPr>
    </w:pPr>
    <w:r>
      <w:rPr>
        <w:noProof/>
      </w:rPr>
      <w:drawing>
        <wp:anchor distT="0" distB="0" distL="114300" distR="114300" simplePos="0" relativeHeight="251657216" behindDoc="0" locked="0" layoutInCell="1" allowOverlap="1" wp14:anchorId="75619397" wp14:editId="2E8527EC">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3B67FF24" wp14:editId="3144E026">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1FB3E883" w14:textId="77777777" w:rsidR="005D628A" w:rsidRPr="005A1885" w:rsidRDefault="005D628A" w:rsidP="005D628A">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3B67FF24"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1FB3E883" w14:textId="77777777" w:rsidR="005D628A" w:rsidRPr="005A1885" w:rsidRDefault="005D628A" w:rsidP="005D628A">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p w14:paraId="49AC63E1" w14:textId="7AF54867" w:rsidR="005D628A" w:rsidRPr="005D628A" w:rsidRDefault="005D628A">
    <w:pPr>
      <w:pStyle w:val="Encabezado"/>
      <w:rPr>
        <w:lang w:val="en-GB"/>
      </w:rPr>
    </w:pPr>
  </w:p>
  <w:p w14:paraId="0ECE8D72" w14:textId="77777777" w:rsidR="005D628A" w:rsidRDefault="005D62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9F0A" w14:textId="77777777" w:rsidR="005D628A" w:rsidRDefault="005D62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134F1"/>
    <w:multiLevelType w:val="hybridMultilevel"/>
    <w:tmpl w:val="FBF826F6"/>
    <w:lvl w:ilvl="0" w:tplc="A5B0EE34">
      <w:start w:val="1"/>
      <w:numFmt w:val="lowerLetter"/>
      <w:lvlText w:val="%1)"/>
      <w:lvlJc w:val="left"/>
      <w:pPr>
        <w:ind w:left="720" w:hanging="360"/>
      </w:pPr>
      <w:rPr>
        <w:rFonts w:hint="default"/>
        <w:color w:val="A9EEB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C41353"/>
    <w:multiLevelType w:val="hybridMultilevel"/>
    <w:tmpl w:val="FBF826F6"/>
    <w:lvl w:ilvl="0" w:tplc="A5B0EE34">
      <w:start w:val="1"/>
      <w:numFmt w:val="lowerLetter"/>
      <w:lvlText w:val="%1)"/>
      <w:lvlJc w:val="left"/>
      <w:pPr>
        <w:ind w:left="720" w:hanging="360"/>
      </w:pPr>
      <w:rPr>
        <w:rFonts w:hint="default"/>
        <w:color w:val="A9EEB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2139EE"/>
    <w:multiLevelType w:val="hybridMultilevel"/>
    <w:tmpl w:val="FBF826F6"/>
    <w:lvl w:ilvl="0" w:tplc="A5B0EE34">
      <w:start w:val="1"/>
      <w:numFmt w:val="lowerLetter"/>
      <w:lvlText w:val="%1)"/>
      <w:lvlJc w:val="left"/>
      <w:pPr>
        <w:ind w:left="720" w:hanging="360"/>
      </w:pPr>
      <w:rPr>
        <w:rFonts w:hint="default"/>
        <w:color w:val="A9EEB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F04A12"/>
    <w:multiLevelType w:val="hybridMultilevel"/>
    <w:tmpl w:val="FBF826F6"/>
    <w:lvl w:ilvl="0" w:tplc="A5B0EE34">
      <w:start w:val="1"/>
      <w:numFmt w:val="lowerLetter"/>
      <w:lvlText w:val="%1)"/>
      <w:lvlJc w:val="left"/>
      <w:pPr>
        <w:ind w:left="720" w:hanging="360"/>
      </w:pPr>
      <w:rPr>
        <w:rFonts w:hint="default"/>
        <w:color w:val="A9EEB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030C2D"/>
    <w:multiLevelType w:val="hybridMultilevel"/>
    <w:tmpl w:val="FBF826F6"/>
    <w:lvl w:ilvl="0" w:tplc="A5B0EE34">
      <w:start w:val="1"/>
      <w:numFmt w:val="lowerLetter"/>
      <w:lvlText w:val="%1)"/>
      <w:lvlJc w:val="left"/>
      <w:pPr>
        <w:ind w:left="720" w:hanging="360"/>
      </w:pPr>
      <w:rPr>
        <w:rFonts w:hint="default"/>
        <w:color w:val="A9EEB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89200E7"/>
    <w:multiLevelType w:val="hybridMultilevel"/>
    <w:tmpl w:val="FBF826F6"/>
    <w:lvl w:ilvl="0" w:tplc="A5B0EE34">
      <w:start w:val="1"/>
      <w:numFmt w:val="lowerLetter"/>
      <w:lvlText w:val="%1)"/>
      <w:lvlJc w:val="left"/>
      <w:pPr>
        <w:ind w:left="720" w:hanging="360"/>
      </w:pPr>
      <w:rPr>
        <w:rFonts w:hint="default"/>
        <w:color w:val="A9EEB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4A"/>
    <w:rsid w:val="00271877"/>
    <w:rsid w:val="002D354A"/>
    <w:rsid w:val="00413F11"/>
    <w:rsid w:val="005A0F35"/>
    <w:rsid w:val="005D628A"/>
    <w:rsid w:val="006C5361"/>
    <w:rsid w:val="007222AF"/>
    <w:rsid w:val="00AA7D4C"/>
    <w:rsid w:val="00AB79C2"/>
    <w:rsid w:val="00C05E08"/>
    <w:rsid w:val="00DD1B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CA9C32"/>
  <w15:chartTrackingRefBased/>
  <w15:docId w15:val="{BE59B7FF-BCD0-4F28-8DB6-5919CFC7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77"/>
    <w:pPr>
      <w:spacing w:after="200" w:line="276" w:lineRule="auto"/>
    </w:pPr>
    <w:rPr>
      <w:lang w:val="de-A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1877"/>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271877"/>
    <w:rPr>
      <w:lang w:val="de-AT"/>
    </w:rPr>
  </w:style>
  <w:style w:type="paragraph" w:styleId="Textonotapie">
    <w:name w:val="footnote text"/>
    <w:aliases w:val="Schriftart: 9 pt,Schriftart: 10 pt,Schriftart: 8 pt,WB-Fußnotentext,fn,Footnotes,Footnote ak"/>
    <w:basedOn w:val="Normal"/>
    <w:link w:val="TextonotapieCar"/>
    <w:uiPriority w:val="99"/>
    <w:unhideWhenUsed/>
    <w:rsid w:val="00271877"/>
    <w:pPr>
      <w:spacing w:after="0" w:line="240" w:lineRule="auto"/>
      <w:jc w:val="both"/>
    </w:pPr>
    <w:rPr>
      <w:sz w:val="20"/>
      <w:szCs w:val="20"/>
      <w:lang w:val="de-DE"/>
    </w:rPr>
  </w:style>
  <w:style w:type="character" w:customStyle="1" w:styleId="TextonotapieCar">
    <w:name w:val="Texto nota pie Car"/>
    <w:aliases w:val="Schriftart: 9 pt Car,Schriftart: 10 pt Car,Schriftart: 8 pt Car,WB-Fußnotentext Car,fn Car,Footnotes Car,Footnote ak Car"/>
    <w:basedOn w:val="Fuentedeprrafopredeter"/>
    <w:link w:val="Textonotapie"/>
    <w:uiPriority w:val="99"/>
    <w:rsid w:val="00271877"/>
    <w:rPr>
      <w:sz w:val="20"/>
      <w:szCs w:val="20"/>
      <w:lang w:val="de-DE"/>
    </w:rPr>
  </w:style>
  <w:style w:type="table" w:styleId="Sombreadomedio2-nfasis1">
    <w:name w:val="Medium Shading 2 Accent 1"/>
    <w:basedOn w:val="Tablanormal"/>
    <w:uiPriority w:val="64"/>
    <w:rsid w:val="00271877"/>
    <w:pPr>
      <w:spacing w:after="0" w:line="240" w:lineRule="auto"/>
    </w:pPr>
    <w:rPr>
      <w:rFonts w:eastAsiaTheme="minorEastAsia"/>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iedepgina">
    <w:name w:val="footer"/>
    <w:basedOn w:val="Normal"/>
    <w:link w:val="PiedepginaCar"/>
    <w:uiPriority w:val="99"/>
    <w:unhideWhenUsed/>
    <w:rsid w:val="005D62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628A"/>
    <w:rPr>
      <w:lang w:val="de-AT"/>
    </w:rPr>
  </w:style>
  <w:style w:type="table" w:customStyle="1" w:styleId="Gitternetztabelle4Akzent1211">
    <w:name w:val="Gitternetztabelle 4 – Akzent 1211"/>
    <w:basedOn w:val="Tablanormal"/>
    <w:next w:val="Tablaconcuadrcula4-nfasis1"/>
    <w:uiPriority w:val="49"/>
    <w:rsid w:val="00AB79C2"/>
    <w:pPr>
      <w:spacing w:after="0" w:line="240" w:lineRule="auto"/>
    </w:pPr>
    <w:rPr>
      <w:rFonts w:ascii="Times New Roman" w:eastAsia="Times New Roman" w:hAnsi="Times New Roman" w:cs="Times New Roman"/>
      <w:sz w:val="24"/>
      <w:szCs w:val="24"/>
      <w:lang w:val="de-DE" w:eastAsia="de-D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1">
    <w:name w:val="Grid Table 4 Accent 1"/>
    <w:basedOn w:val="Tablanormal"/>
    <w:uiPriority w:val="49"/>
    <w:rsid w:val="00AB79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B83A-CE92-438A-BA63-FB4B8311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Garcia</dc:creator>
  <cp:keywords/>
  <dc:description/>
  <cp:lastModifiedBy>Juan Garcia Cuadrado</cp:lastModifiedBy>
  <cp:revision>9</cp:revision>
  <dcterms:created xsi:type="dcterms:W3CDTF">2019-06-25T11:54:00Z</dcterms:created>
  <dcterms:modified xsi:type="dcterms:W3CDTF">2020-02-03T11:07:00Z</dcterms:modified>
</cp:coreProperties>
</file>